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الجدوى الاقتصادية: الاستثمار في استراتيجيات إدارة المخاطر المتقدمة يمكن أن يؤدي إلى وفورات مالية طويلة الأجل من خلال تجنب الغرامات التنظيمية والإضرار بالسمعة</w:t>
      </w:r>
    </w:p>
    <w:p>
      <w:pPr/>
      <w:r>
        <w:rPr>
          <w:shd w:val="clear" w:fill="eeee80"/>
        </w:rPr>
        <w:t xml:space="preserve">التطبيق العملي: إدارة قوية للمخاطر</w:t>
      </w:r>
    </w:p>
    <w:p>
      <w:pPr/>
      <w:r>
        <w:rPr>
          <w:shd w:val="clear" w:fill="eeee80"/>
        </w:rPr>
        <w:t xml:space="preserve">تعد أطر العمل وعمليات التدقيق المتكررة والمراقبة المستمرة أمرًا بالغ الأهمية لتحقيق الامتثال التنظيمي والحفاظ عليه،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2026-10-20T13:26:01+00:00</dcterms:created>
  <dcterms:modified xsi:type="dcterms:W3CDTF">2026-10-20T13:26:01+00:00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