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حيث إنها تمثل الحاضنة الأولى للأبناء،  والراعي الرئيس لاحتياجاتهم،  ولعل أبرز ما يميز مجتمعنا التزامه بالمبادئ والقيم الإسلامية،  وقوة روابطه الأسرية وامتدادها،  مما يحتنا على تزويد الأسرة بعوامل النجاح اللازمة لتمكينها من رعاية أبنائها وتنمية ملكاتهم وقدراتهم.  سنعمل على إشراك أولياء الأمور في العملية التعليمية كما سنعمل على مساعدتهم في بناء شخصيات أطفالهم ومواهبهم حتى يكونوا عناصر فاعلة في بناء مجتمعهم ،  وسنشجع الأسر على تبني ثقافة التخطيط بما يتناسب مع الإمكانات المتاحة لها،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 بحلول عام ( ١٤٤٢ هـ - ٢٠٢٠م) ،  وذلك بسنّ عدد من الأنظمة واللوائح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وسنعمل مع القطاع غير الربحي وعبر الشراكة مع القطاع الخاص على توفير فرص التدريب والتأهيل نرعى صحتنا :  ولدينا بعض أفضل الكفاءات العالمية في أدق التخصصات الطبية،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