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وجود مستويين للادخار المستوى المجتمعي والمستوى الفردي: فبالنست للمجتمع يلاحظ أن ناتج الاقتصاد القومي خلال سنة معينة لا ينفق كليا)(فب اغلب الأحوال) على الأغراض الاستهلاكية الحالية بل يقتطع جزء منه ليكون الادخار القومي وعند هذا المستوى يكون الادخار القومى بمثابة تيار أو تدفق مرتبط يساوي</w:t>
      </w:r>
    </w:p>
    <w:p>
      <w:pPr/>
      <w:r>
        <w:rPr/>
        <w:t xml:space="preserve">الدخل القابل للتصرف فيه ناقصا الاستهلاك الخاص الكلى).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2026-09-13T12:59:35+00:00</dcterms:created>
  <dcterms:modified xsi:type="dcterms:W3CDTF">2026-09-13T12:59:35+00:00</dcterms:modified>
</cp:coreProperties>
</file>

<file path=docProps/custom.xml><?xml version="1.0" encoding="utf-8"?>
<Properties xmlns="http://schemas.openxmlformats.org/officeDocument/2006/custom-properties" xmlns:vt="http://schemas.openxmlformats.org/officeDocument/2006/docPropsVTypes"/>
</file>