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Organizational law } comprising the bodies of law that govern standard legal entities such as business corporations, partnerships, cooperatives, nonpro"t organizations, trusts, limited liability companies, and marriages } serves many functions of an essential- ly contractual character. These contractual functions } which include most matters involving the allocation of authority and earnings among the participants in the "rm } could, however, be performed relatively easily by private contracting even in the absence of organizational law.</w:t>
      </w:r>
    </w:p>
    <w:p>
      <w:pPr/>
      <w:r>
        <w:rPr/>
        <w:t xml:space="preserve"> A far more important function of organizational law, we argue, is its role in partitioning property rights between creditors of a "rm and creditors of the "rm's owners and managers. In particular, organizational law plays a crucial role in permitting the formation of a separate pool of assets that can be pledged to bond the contracts of which the "rm is the nexus. </w:t>
      </w:r>
    </w:p>
    <w:p>
      <w:pPr/>
      <w:r>
        <w:rPr>
          <w:shd w:val="clear" w:fill="eeee80"/>
        </w:rPr>
        <w:t xml:space="preserve">While the law's role in partitioning o!</w:t>
      </w:r>
    </w:p>
    <w:p>
      <w:pPr/>
      <w:r>
        <w:rPr/>
        <w:t xml:space="preserve"> these bonding assets is seldom remarked, it is far more signi"cant than the better-studied rule of limited liability that characterizes many, but not all, legal entities. ( 2000 Elsevier Science B.V. All rights reserved.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2026-10-16T21:54:33+00:00</dcterms:created>
  <dcterms:modified xsi:type="dcterms:W3CDTF">2026-10-16T21:54:33+00:00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