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اعتبر الشيخ زايد تسلمه مقاليد الحكم في ابوظبي فرصهً لترجمة مبادئه الى خطوات عملية والمضي قدمًا في تنفيذ رؤيته للوحدة والتطوير والتنمية.</w:t>
      </w:r>
    </w:p>
    <w:p>
      <w:pPr/>
      <w:r>
        <w:rPr>
          <w:shd w:val="clear" w:fill="eeee80"/>
        </w:rPr>
        <w:t xml:space="preserve"> ولم يعتبر الشيخ زايد منصبه تتويجًا لحياته السياسية ،</w:t>
      </w:r>
    </w:p>
    <w:p>
      <w:pPr/>
      <w:r>
        <w:rPr>
          <w:shd w:val="clear" w:fill="eeee80"/>
        </w:rPr>
        <w:t xml:space="preserve"> وعلاوةً على ذلك بدأت المشروعات التي دُشنت في عهده تغير ملامح ابوظبي ليعم الرخاء ،</w:t>
      </w:r>
    </w:p>
    <w:p>
      <w:pPr/>
      <w:r>
        <w:rPr>
          <w:shd w:val="clear" w:fill="eeee80"/>
        </w:rPr>
        <w:t xml:space="preserve"> وكان ذلك كله مقدمة لتحقيق حلمه العظيم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2026-11-02T15:08:42+00:00</dcterms:created>
  <dcterms:modified xsi:type="dcterms:W3CDTF">2026-11-02T15:08:42+00:00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