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والتي قد تكون ماليةً أو غير مالية معترف له الاستئثار بها.</w:t>
      </w:r>
    </w:p>
    <w:p>
      <w:pPr/>
      <w:r>
        <w:rPr>
          <w:shd w:val="clear" w:fill="eeee80"/>
        </w:rPr>
        <w:t xml:space="preserve"> حماية القانون شرط من شروط الاستئثار،</w:t>
      </w:r>
    </w:p>
    <w:p>
      <w:pPr/>
      <w:r>
        <w:rPr>
          <w:shd w:val="clear" w:fill="eeee80"/>
        </w:rPr>
        <w:t xml:space="preserve"> فهو لا يكون حقاً إلا إذا حماه القانون.</w:t>
      </w:r>
    </w:p>
    <w:p>
      <w:pPr/>
      <w:r>
        <w:rPr>
          <w:shd w:val="clear" w:fill="eeee80"/>
        </w:rPr>
        <w:t xml:space="preserve"> استهداف القانون حماية مصلحة معينة،</w:t>
      </w:r>
    </w:p>
    <w:p>
      <w:pPr/>
      <w:r>
        <w:rPr>
          <w:shd w:val="clear" w:fill="eeee80"/>
        </w:rPr>
        <w:t xml:space="preserve"> شرط أن تكون جديرة بالحماية،</w:t>
      </w:r>
    </w:p>
    <w:p>
      <w:pPr/>
      <w:r>
        <w:rPr>
          <w:shd w:val="clear" w:fill="eeee80"/>
        </w:rPr>
        <w:t xml:space="preserve"> كما أنّه اعتبر الحماية عنصراً من العناصر،</w:t>
      </w:r>
    </w:p>
    <w:p>
      <w:pPr/>
      <w:r>
        <w:rPr/>
        <w:t xml:space="preserve"> وهذا ما جعله يقع في ذات ما أُخِذَ على نظرية المصلحة التي جعلت الحماية ركناً من أركان الحق.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2026-10-24T23:09:44+00:00</dcterms:created>
  <dcterms:modified xsi:type="dcterms:W3CDTF">2026-10-24T23:09:44+00:00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