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study by Majeed, Faraj, et Hussien (2024) investigates the performance of an indirect solar drying system using phase change materials (PCM) for food dehydration.</w:t>
      </w:r>
    </w:p>
    <w:p>
      <w:pPr/>
      <w:r>
        <w:rPr/>
        <w:t xml:space="preserve"> The drying process uses a solar collector to heat the food, with maximum temperatures reaching 63°C and a 40% reduction in humidity. </w:t>
      </w:r>
    </w:p>
    <w:p>
      <w:pPr/>
      <w:r>
        <w:rPr>
          <w:shd w:val="clear" w:fill="eeee80"/>
        </w:rPr>
        <w:t xml:space="preserve">The addition of PCM significantly improves drying efficiency, achieving a 10% humidity increase in 24 hours.</w:t>
      </w:r>
    </w:p>
    <w:p>
      <w:pPr/>
      <w:r>
        <w:rPr/>
        <w:t xml:space="preserve"> The use of PCM-containing receivers reduced thermal flux by 3.26%, while the use of two types of PCM led to a 2.24% reduction.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2026-08-31T04:48:05+00:00</dcterms:created>
  <dcterms:modified xsi:type="dcterms:W3CDTF">2026-08-31T04:48:05+00:00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