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التشجيع والتحفيز على قيم النبوغ والتمييز والابتكار في مختلف مستويات منظومة التربية والتكوين والبحث العلمي ومكوناتها ،</w:t>
      </w:r>
    </w:p>
    <w:p>
      <w:pPr/>
      <w:r>
        <w:rPr>
          <w:shd w:val="clear" w:fill="eeee80"/>
        </w:rPr>
        <w:t xml:space="preserve"> وصقل الحس النقدي لديهم ،</w:t>
      </w:r>
    </w:p>
    <w:p>
      <w:pPr/>
      <w:r>
        <w:rPr>
          <w:shd w:val="clear" w:fill="eeee80"/>
        </w:rPr>
        <w:t xml:space="preserve">وإتاحة الفرص أمامهم للإبداع والابتكار ،</w:t>
      </w:r>
    </w:p>
    <w:p>
      <w:pPr/>
      <w:r>
        <w:rPr>
          <w:shd w:val="clear" w:fill="eeee80"/>
        </w:rPr>
        <w:t xml:space="preserve"> وتمكينهم من الانخراط في مجتمع المعرفة والتواصل؛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2026-09-08T04:55:10+00:00</dcterms:created>
  <dcterms:modified xsi:type="dcterms:W3CDTF">2026-09-08T04:55:10+00:00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