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تعالج هذه الدراسة موضوع الجباية و دورها في تمويل الخزينة العمومية ،</w:t>
      </w:r>
    </w:p>
    <w:p>
      <w:pPr/>
      <w:r>
        <w:rPr>
          <w:shd w:val="clear" w:fill="eeee80"/>
        </w:rPr>
        <w:t xml:space="preserve"> وتهدف هذه الدراسة إلى معرفة مكانة الجباية  في تمويل الخزينة العمومية  من خلال مدى مساهمتها في تمويل الإيرادات العامة وكذا تغطية النفقات العمومية.</w:t>
      </w:r>
    </w:p>
    <w:p>
      <w:pPr/>
      <w:r>
        <w:rPr>
          <w:shd w:val="clear" w:fill="eeee80"/>
        </w:rPr>
        <w:t xml:space="preserve">ولقد خلصت هذه الدراسة أن موارد الجباية  في الجزائر تبقى ضعيفة بالنظر إلى نسبة مساهمتها في تمويل إيرادات الميزانية من جهة أخرى عدم قدرتها على تغطية النفقات العمومية سواء نفقات التسيير أو نفقات التجهيز وبهذا يمكننا القول أن الحكومة فشلت في تحقيق الهدف المسطر عبر الإصلاحات الجبائية المتتالية مند 1992 والمتمثل في إحلال الجباية العادية محل الجباية البترولية في تمويل الميزانية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2026-10-08T21:53:22+00:00</dcterms:created>
  <dcterms:modified xsi:type="dcterms:W3CDTF">2026-10-08T21:53:22+00:00</dcterms:modified>
</cp:coreProperties>
</file>

<file path=docProps/custom.xml><?xml version="1.0" encoding="utf-8"?>
<Properties xmlns="http://schemas.openxmlformats.org/officeDocument/2006/custom-properties" xmlns:vt="http://schemas.openxmlformats.org/officeDocument/2006/docPropsVTypes"/>
</file>