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In Sonnet 75, the speaker describes writing his beloved's name in the sand, only to have it washed away by the waves.</w:t>
      </w:r>
    </w:p>
    <w:p>
      <w:pPr/>
      <w:r>
        <w:rPr>
          <w:shd w:val="clear" w:fill="eeee80"/>
        </w:rPr>
        <w:t xml:space="preserve">He repeats this act, and once again, the tide erases it. The beloved responds by calling him vain for attempting to immortalize her in such a fleeting manner, suggesting that she too will eventually fade away like the writing in the sand.</w:t>
      </w:r>
    </w:p>
    <w:p>
      <w:pPr/>
      <w:r>
        <w:rPr>
          <w:shd w:val="clear" w:fill="eeee80"/>
        </w:rPr>
        <w:t xml:space="preserve">The speaker counters by asserting that while physical things decay, his verse will immortalize her virtues and their love, ensuring that they live on in fame and memory.</w:t>
      </w:r>
    </w:p>
    <w:p>
      <w:pPr/>
      <w:r>
        <w:rPr>
          <w:shd w:val="clear" w:fill="eeee80"/>
        </w:rPr>
        <w:t xml:space="preserve">The sonnet concludes with the speaker's confident declaration that their love will transcend death and be renewed in later generations.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2026-10-02T05:54:05+00:00</dcterms:created>
  <dcterms:modified xsi:type="dcterms:W3CDTF">2026-10-02T05:54:05+00:00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