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العقوبات التي نص عليها النظام هي الغرامة التي لا تتجاوز 500,</w:t>
      </w:r>
    </w:p>
    <w:p>
      <w:pPr/>
      <w:r>
        <w:rPr>
          <w:shd w:val="clear" w:fill="eeee80"/>
        </w:rPr>
        <w:t xml:space="preserve"> وتوقع على كل شركة مملوكة لشخص واحد،</w:t>
      </w:r>
    </w:p>
    <w:p>
      <w:pPr/>
      <w:r>
        <w:rPr>
          <w:shd w:val="clear" w:fill="eeee80"/>
        </w:rPr>
        <w:t xml:space="preserve"> بالمخالفة لضوابط اللائحة،</w:t>
      </w:r>
    </w:p>
    <w:p>
      <w:pPr/>
      <w:r>
        <w:rPr>
          <w:shd w:val="clear" w:fill="eeee80"/>
        </w:rPr>
        <w:t xml:space="preserve"> كما توقع على كل مدير أو عضو مجلس إدارة،</w:t>
      </w:r>
    </w:p>
    <w:p>
      <w:pPr/>
      <w:r>
        <w:rPr>
          <w:shd w:val="clear" w:fill="eeee80"/>
        </w:rPr>
        <w:t xml:space="preserve"> نتيجة إخلاله بشروط تأسيس الشركات المهنية،</w:t>
      </w:r>
    </w:p>
    <w:p>
      <w:pPr/>
      <w:r>
        <w:rPr>
          <w:shd w:val="clear" w:fill="eeee80"/>
        </w:rPr>
        <w:t xml:space="preserve"> أو إخلاله بالضوابط المنظمة لنشاط الشركات المهنية،</w:t>
      </w:r>
    </w:p>
    <w:p>
      <w:pPr/>
      <w:r>
        <w:rPr>
          <w:shd w:val="clear" w:fill="eeee80"/>
        </w:rPr>
        <w:t xml:space="preserve"> أو إخلاله بالقواعد العامة لآلية إدارة الشركات المهنية،</w:t>
      </w:r>
    </w:p>
    <w:p>
      <w:pPr/>
      <w:r>
        <w:rPr>
          <w:shd w:val="clear" w:fill="eeee80"/>
        </w:rPr>
        <w:t xml:space="preserve"> على كل شخص شارك أو ساهم في أكثر من شركة مهنية تمارس المهنة الحرة نفسها،</w:t>
      </w:r>
    </w:p>
    <w:p>
      <w:pPr/>
      <w:r>
        <w:rPr>
          <w:shd w:val="clear" w:fill="eeee80"/>
        </w:rPr>
        <w:t xml:space="preserve"> وعلى كل مدير أو عضو مجلس إدارة قام بحل الشركة قبل المدة المحددة لانقضائها،</w:t>
      </w:r>
    </w:p>
    <w:p>
      <w:pPr/>
      <w:r>
        <w:rPr>
          <w:shd w:val="clear" w:fill="eeee80"/>
        </w:rPr>
        <w:t xml:space="preserve"> وعلى كل شركة أخلت بأحكام النظام،</w:t>
      </w:r>
    </w:p>
    <w:p>
      <w:pPr/>
      <w:r>
        <w:rPr>
          <w:shd w:val="clear" w:fill="eeee80"/>
        </w:rPr>
        <w:t xml:space="preserve"> وكل شركة مارست مهنة حرة دون الحصول على تغطية تأمينية على الأخطاء المهنية،</w:t>
      </w:r>
    </w:p>
    <w:p>
      <w:pPr/>
      <w:r>
        <w:rPr>
          <w:shd w:val="clear" w:fill="eeee80"/>
        </w:rPr>
        <w:t xml:space="preserve"> وذلك في حال صدور قرار من الوزير بإلزامها بالحصول على تلك التغطية،</w:t>
      </w:r>
    </w:p>
    <w:p>
      <w:pPr/>
      <w:r>
        <w:rPr>
          <w:shd w:val="clear" w:fill="eeee80"/>
        </w:rPr>
        <w:t xml:space="preserve"> وتوقع تلك العقوبة أيضا على كل شخص مارس المهنة الحرة عن طريق آخر غير طريق الشركة المهنية،</w:t>
      </w:r>
    </w:p>
    <w:p>
      <w:pPr/>
      <w:r>
        <w:rPr>
          <w:shd w:val="clear" w:fill="eeee80"/>
        </w:rPr>
        <w:t xml:space="preserve"> وأخيرا توقع العقوبة على كل مدير أو عضو مجلس إدارة أو شريك وحيد في شركة مهنية،</w:t>
      </w:r>
    </w:p>
    <w:p>
      <w:pPr/>
      <w:r>
        <w:rPr>
          <w:shd w:val="clear" w:fill="eeee80"/>
        </w:rPr>
        <w:t xml:space="preserve"> في حال ممارستها مهنة حرة دون أن يكون من بين شركائها أو مساهميها من هو مرخص له بممارسة المهنة.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2026-10-30T04:41:20+00:00</dcterms:created>
  <dcterms:modified xsi:type="dcterms:W3CDTF">2026-10-30T04:41:20+00:00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