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تتعرض المنظمات للمخاطر سواء كانت ربحية أو غير ربحية،</w:t>
      </w:r>
    </w:p>
    <w:p>
      <w:pPr/>
      <w:r>
        <w:rPr>
          <w:shd w:val="clear" w:fill="eeee80"/>
        </w:rPr>
        <w:t xml:space="preserve"> ومعظم منظمات الأعمال </w:t>
      </w:r>
    </w:p>
    <w:p>
      <w:pPr/>
      <w:r>
        <w:rPr/>
        <w:t xml:space="preserve">تواجه تحديات جمه في مواجهة مخاطر المعرفة التي تمتلكها ،</w:t>
      </w:r>
    </w:p>
    <w:p>
      <w:pPr/>
      <w:r>
        <w:rPr>
          <w:shd w:val="clear" w:fill="eeee80"/>
        </w:rPr>
        <w:t xml:space="preserve"> ووفقاً ل(Neef,</w:t>
      </w:r>
    </w:p>
    <w:p>
      <w:pPr/>
      <w:r>
        <w:rPr>
          <w:shd w:val="clear" w:fill="eeee80"/>
        </w:rPr>
        <w:t xml:space="preserve">2005) المنظمة لا يمكنها إدارة مخاطرها بشكل فاعل ما لم تتمكن من إدارة معرفتها،</w:t>
      </w:r>
    </w:p>
    <w:p>
      <w:pPr/>
      <w:r>
        <w:rPr>
          <w:shd w:val="clear" w:fill="eeee80"/>
        </w:rPr>
        <w:t xml:space="preserve"> 46)؛</w:t>
      </w:r>
    </w:p>
    <w:p>
      <w:pPr/>
      <w:r>
        <w:rPr/>
        <w:t xml:space="preserve"> ولهذه الغاية تستعمل طرائق عديدة وتستثمر كثير من الأموال من أجل القيام بممارسة صحيحة لإدارة تلك المخاطر،</w:t>
      </w:r>
    </w:p>
    <w:p>
      <w:pPr/>
      <w:r>
        <w:rPr>
          <w:shd w:val="clear" w:fill="eeee80"/>
        </w:rPr>
        <w:t xml:space="preserve">235).</w:t>
      </w:r>
    </w:p>
    <w:p>
      <w:pPr/>
      <w:r>
        <w:rPr/>
        <w:t xml:space="preserve"> 249)،</w:t>
      </w:r>
    </w:p>
    <w:p>
      <w:pPr/>
      <w:r>
        <w:rPr>
          <w:shd w:val="clear" w:fill="eeee80"/>
        </w:rPr>
        <w:t xml:space="preserve"> 264).</w:t>
      </w:r>
    </w:p>
    <w:p>
      <w:pPr/>
      <w:r>
        <w:rPr/>
        <w:t xml:space="preserve">وإدارة مخاطر المعرفه بالنسبة للبنوك تعد عملية مهمة تتبعها البنوك لتحديد استراتيجياتها بهدف التعرف هلى مخاطر المعرفة التي من الممكن التعرض لها،</w:t>
      </w:r>
    </w:p>
    <w:p>
      <w:pPr/>
      <w:r>
        <w:rPr>
          <w:shd w:val="clear" w:fill="eeee80"/>
        </w:rPr>
        <w:t xml:space="preserve">2001،</w:t>
      </w:r>
    </w:p>
    <w:p>
      <w:pPr/>
      <w:r>
        <w:rPr/>
        <w:t xml:space="preserve">119)،</w:t>
      </w:r>
    </w:p>
    <w:p>
      <w:pPr/>
      <w:r>
        <w:rPr>
          <w:shd w:val="clear" w:fill="eeee80"/>
        </w:rPr>
        <w:t xml:space="preserve"> بذلك هدفت دراسة (الطباطبائي ومحمد،</w:t>
      </w:r>
    </w:p>
    <w:p>
      <w:pPr/>
      <w:r>
        <w:rPr>
          <w:shd w:val="clear" w:fill="eeee80"/>
        </w:rPr>
        <w:t xml:space="preserve"> 2023) دراسة الريادة المصرفية وأثرها في إدارة مخاطر المعرفة في المصارف العراقية.</w:t>
      </w:r>
    </w:p>
    <w:p>
      <w:pPr/>
      <w:r>
        <w:rPr>
          <w:shd w:val="clear" w:fill="eeee80"/>
        </w:rPr>
        <w:t xml:space="preserve">ويتضح مما سبق أن إدارة المخاطر المعرفة أمرًا استراتيجيًا في عمل البنوك سواء كانت محلية او غير محلية والريادة المصرفية تعد امرًا مهمًا لتطوير الأداء المصرفي،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2026-10-19T10:00:00+00:00</dcterms:created>
  <dcterms:modified xsi:type="dcterms:W3CDTF">2026-10-19T10:00:00+00:00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