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of COPD mortality with socioeconomic status in older data from the United Kingdom where the socioeconomic gradient was stronger for COPD than those for lung cancer and even for tuberculosis and the overall downward trend in COPD deaths in England and Wales since the first decade of the twentieth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