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ساهمت التطورات في علم الرياضيات واإلحصاء في تعزيز استخدامالنماذج الرياضية والبرامج الحاسوبية في التحليل االقتصادي.</w:t>
      </w:r>
    </w:p>
    <w:p>
      <w:pPr/>
      <w:r>
        <w:rPr>
          <w:shd w:val="clear" w:fill="eeee80"/>
        </w:rPr>
        <w:t xml:space="preserve"> أصبح من الممكن التنبؤ بالمتغيرات االقتصادية بشكل أكثر دقة،</w:t>
      </w:r>
    </w:p>
    <w:p>
      <w:pPr/>
      <w:r>
        <w:rPr>
          <w:shd w:val="clear" w:fill="eeee80"/>
        </w:rPr>
        <w:t xml:space="preserve">مما جعل المدرسة الحديثة تعتمد بشكل كبير على االقتصاد القياسي في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2026-08-27T16:32:48+00:00</dcterms:created>
  <dcterms:modified xsi:type="dcterms:W3CDTF">2026-08-27T16:32:48+00:00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