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التطورات في علم الرياضيات واإلحصاء في تعزيز استخدامالنماذج الرياضية والبرامج الحاسوبية في التحليل االقتصادي.</w:t>
      </w:r>
    </w:p>
    <w:p>
      <w:pPr/>
      <w:r>
        <w:rPr>
          <w:shd w:val="clear" w:fill="eeee80"/>
        </w:rPr>
        <w:t xml:space="preserve"> أصبح من الممكن التنبؤ بالمتغيرات االقتصادية بشكل أكثر دقة،</w:t>
      </w:r>
    </w:p>
    <w:p>
      <w:pPr/>
      <w:r>
        <w:rPr>
          <w:shd w:val="clear" w:fill="eeee80"/>
        </w:rPr>
        <w:t xml:space="preserve">مما جعل المدرسة الحديثة تعتمد بشكل كبير على االقتصاد القياسي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2026-09-30T10:54:48+00:00</dcterms:created>
  <dcterms:modified xsi:type="dcterms:W3CDTF">2026-09-30T10:54:48+00:00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