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الفرع األول: جرائم متغيرة ومختلفة المصادر ـ</w:t>
      </w:r>
    </w:p>
    <w:p>
      <w:pPr/>
      <w:r>
        <w:rPr>
          <w:shd w:val="clear" w:fill="eeee80"/>
        </w:rPr>
        <w:t xml:space="preserve">وذلك بتغير الظروف والسياسة االقتصادية المنتهجة،</w:t>
      </w:r>
    </w:p>
    <w:p>
      <w:pPr/>
      <w:r>
        <w:rPr>
          <w:shd w:val="clear" w:fill="eeee80"/>
        </w:rPr>
        <w:t xml:space="preserve"> فالقوانين المحددة لجرائم الشركات قابلة </w:t>
      </w:r>
    </w:p>
    <w:p>
      <w:pPr/>
      <w:r>
        <w:rPr>
          <w:shd w:val="clear" w:fill="eeee80"/>
        </w:rPr>
        <w:t xml:space="preserve">للتغيير السريع.</w:t>
      </w:r>
    </w:p>
    <w:p>
      <w:pPr/>
      <w:r>
        <w:rPr>
          <w:shd w:val="clear" w:fill="eeee80"/>
        </w:rPr>
        <w:t xml:space="preserve"> وبعض التشريعات تتجرم الفعل حتى ن كان</w:t>
      </w:r>
    </w:p>
    <w:p>
      <w:pPr/>
      <w:r>
        <w:rPr>
          <w:shd w:val="clear" w:fill="eeee80"/>
        </w:rPr>
        <w:t xml:space="preserve">وا المجني عليه ارضياً بالضرر الذي أصابه.</w:t>
      </w:r>
    </w:p>
    <w:p>
      <w:pPr/>
      <w:r>
        <w:rPr>
          <w:shd w:val="clear" w:fill="eeee80"/>
        </w:rPr>
        <w:t xml:space="preserve">ثانيا -مختلفة المصادر القانونية: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2026-10-17T21:29:44+00:00</dcterms:created>
  <dcterms:modified xsi:type="dcterms:W3CDTF">2026-10-17T21:29:44+00:00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