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  والصحة العامة وأمور أخرى.  وأن تغتنم كثيراً من الفرص المتاحة للتعاون مع الجامعات الأخرى في جميع أرجاء العالم لمعالجة التحديات العالمية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