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الهندسة المالية التقليدية بأنها تحليل البيانات</w:t>
      </w:r>
    </w:p>
    <w:p>
      <w:pPr/>
      <w:r>
        <w:rPr/>
        <w:t xml:space="preserve"> باستخدام الخوارزميات أو النماذج وتركز الهندسة المالية على تصميم وتطوير وتطبيق أدوات وتقديم حلول خالقة ومبدعة للمشكالت المالية ،لتخفيض التكاليف وزيادة العائد ، كما وتعرفها الجمعية الدوليةللمهندسين الماليين بأنها التطوير والتطبيق المبتكرللنظرية المالية إليجاد حلول للمشكالت المالية وإلستغالل الفرص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2026-10-14T17:35:25+00:00</dcterms:created>
  <dcterms:modified xsi:type="dcterms:W3CDTF">2026-10-14T17:35:25+00:00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