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Stacey Davison is one of three million tourists who chose to visit Costa Rica this year.</w:t>
      </w:r>
    </w:p>
    <w:p>
      <w:pPr/>
      <w:r>
        <w:rPr/>
        <w:t xml:space="preserve"> “We wanted to explore a country that was largely unspoiled by development. Oh my goodness, we got exactly what we were looking for. We saw beautiful beaches, lush rainforests, and exotic wildlife.” </w:t>
      </w:r>
    </w:p>
    <w:p>
      <w:pPr/>
      <w:r>
        <w:rPr>
          <w:shd w:val="clear" w:fill="eeee80"/>
        </w:rPr>
        <w:t xml:space="preserve">Stacey is particularly excited about a wildlife refuge she and her husband visited during their trip.</w:t>
      </w:r>
    </w:p>
    <w:p>
      <w:pPr/>
      <w:r>
        <w:rPr/>
        <w:t xml:space="preserve"> “It took four hours by bus to get there along an unpaved road, but it was so beautiful that it was worth it. We hiked trails and took a tour through the rainforest canopy. Our guide showed us how to stick a stick into a termite nest for a snack (they have a nutty flavor!), and how to use live leafcutter ants to create stitches for cutting. It was absolutely amazing.”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2026-09-22T17:52:46+00:00</dcterms:created>
  <dcterms:modified xsi:type="dcterms:W3CDTF">2026-09-22T17:52:46+00:00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