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transition to address the Y2K challenge.?No availability of Tools ?Multiple Legacy Platforms.In any case, most legacy systems still reside on mainframes, minis, or UNIX based servers.If the situation in your company warrants serious consideration of the single-platform option, then analyze the implications before making a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