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Proponents of boycotting Israeli products see it as a moral obligation to hold Israel accountable for its actions in the occupied territories.</w:t>
      </w:r>
    </w:p>
    <w:p>
      <w:pPr/>
      <w:r>
        <w:rPr>
          <w:shd w:val="clear" w:fill="eeee80"/>
        </w:rPr>
        <w:t xml:space="preserve">They argue that economic pressure can influence Israeli policies and push for a resolution to the conflict.</w:t>
      </w:r>
    </w:p>
    <w:p>
      <w:pPr/>
      <w:r>
        <w:rPr/>
        <w:t xml:space="preserve"> Furthermore, they view boycotting as a form of nonviolent resistance that aligns with international efforts to promote human rights and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2026-10-18T22:40:00+00:00</dcterms:created>
  <dcterms:modified xsi:type="dcterms:W3CDTF">2026-10-18T22:40:00+00:00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