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هناك عناصر كثيرة تشترك في تكوين العمل الأدبي؛</w:t>
      </w:r>
    </w:p>
    <w:p>
      <w:pPr/>
      <w:r>
        <w:rPr>
          <w:shd w:val="clear" w:fill="eeee80"/>
        </w:rPr>
        <w:t xml:space="preserve"> فنحن أولاً نجد بطبيعة الحال العناصر التي تقدمها الحياة ذاتها،</w:t>
      </w:r>
    </w:p>
    <w:p>
      <w:pPr/>
      <w:r>
        <w:rPr/>
        <w:t xml:space="preserve"> سواء أكان قصيدة أم مقالة أم مسرحية أم قصة.</w:t>
      </w:r>
    </w:p>
    <w:p>
      <w:pPr/>
      <w:r>
        <w:rPr>
          <w:shd w:val="clear" w:fill="eeee80"/>
        </w:rPr>
        <w:t xml:space="preserve"> ثم هناك العناصر التي يضيفها المؤلف في عملية نقله هذه المادة الأولية إلى هذه الصورة أو تلك من صور الفن الأدبي.</w:t>
      </w:r>
    </w:p>
    <w:p>
      <w:pPr/>
      <w:r>
        <w:rPr>
          <w:shd w:val="clear" w:fill="eeee80"/>
        </w:rPr>
        <w:t xml:space="preserve"> وهذه العناصر يمكن أن تقسم تقسيماً تقريباً إلى أربعة أقسام: </w:t>
      </w:r>
    </w:p>
    <w:p>
      <w:pPr/>
      <w:r>
        <w:rPr>
          <w:shd w:val="clear" w:fill="eeee80"/>
        </w:rPr>
        <w:t xml:space="preserve">أولاً: هناك العنصر العقلي،</w:t>
      </w:r>
    </w:p>
    <w:p>
      <w:pPr/>
      <w:r>
        <w:rPr>
          <w:shd w:val="clear" w:fill="eeee80"/>
        </w:rPr>
        <w:t xml:space="preserve"> والتي يعبر عنها في عمله الفني.</w:t>
      </w:r>
    </w:p>
    <w:p>
      <w:pPr/>
      <w:r>
        <w:rPr/>
        <w:t xml:space="preserve">ثانياً: هناك العنصر العاطفي،</w:t>
      </w:r>
    </w:p>
    <w:p>
      <w:pPr/>
      <w:r>
        <w:rPr>
          <w:shd w:val="clear" w:fill="eeee80"/>
        </w:rPr>
        <w:t xml:space="preserve"> وهو الشعور(كائناً ما كان نوعه) الذي يثيره الموضوع في نفسه،</w:t>
      </w:r>
    </w:p>
    <w:p>
      <w:pPr/>
      <w:r>
        <w:rPr>
          <w:shd w:val="clear" w:fill="eeee80"/>
        </w:rPr>
        <w:t xml:space="preserve"> والذي يود هو بدوره أن يثيره فينا.</w:t>
      </w:r>
    </w:p>
    <w:p>
      <w:pPr/>
      <w:r>
        <w:rPr>
          <w:shd w:val="clear" w:fill="eeee80"/>
        </w:rPr>
        <w:t xml:space="preserve">ثالثاً: هناك عناصر الخيال،</w:t>
      </w:r>
    </w:p>
    <w:p>
      <w:pPr/>
      <w:r>
        <w:rPr/>
        <w:t xml:space="preserve"> وهو في الحقيقة القدرة على التأمل القوي العميق.</w:t>
      </w:r>
    </w:p>
    <w:p>
      <w:pPr/>
      <w:r>
        <w:rPr>
          <w:shd w:val="clear" w:fill="eeee80"/>
        </w:rPr>
        <w:t xml:space="preserve"> وبعمله سرعان ما ينقل إلينا الكاتب قدرة مماثلة على التأمل.</w:t>
      </w:r>
    </w:p>
    <w:p>
      <w:pPr/>
      <w:r>
        <w:rPr/>
        <w:t xml:space="preserve"> وهذه العناصر تجتمع لتقدم للأدب المادة والحياة. ولكن مهما تبلغ المواد التي قدمتها التجربة من الغنى،</w:t>
      </w:r>
    </w:p>
    <w:p>
      <w:pPr/>
      <w:r>
        <w:rPr>
          <w:shd w:val="clear" w:fill="eeee80"/>
        </w:rPr>
        <w:t xml:space="preserve"> ومهما يبلغ فكر الكاتب وشعوره وخياله من الجدة،</w:t>
      </w:r>
    </w:p>
    <w:p>
      <w:pPr/>
      <w:r>
        <w:rPr/>
        <w:t xml:space="preserve"> فإن عنصراً آخر يلزم الكاتب عند الاهتمام بهذه العناصر قبل أن يتمكن من إتمام عمله؛</w:t>
      </w:r>
    </w:p>
    <w:p>
      <w:pPr/>
      <w:r>
        <w:rPr>
          <w:shd w:val="clear" w:fill="eeee80"/>
        </w:rPr>
        <w:t xml:space="preserve"> فهذه المادة يجب تشكل وتهذب وفق مبادئ النظام والتناسب والجمال والتأثير.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2026-09-13T12:20:47+00:00</dcterms:created>
  <dcterms:modified xsi:type="dcterms:W3CDTF">2026-09-13T12:20:47+00:00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