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تم أجراء الاختبار على ثلاثة أنواع مختلفة من القمح (ديلكاش-2020 ،</w:t>
      </w:r>
    </w:p>
    <w:p>
      <w:pPr/>
      <w:r>
        <w:rPr/>
        <w:t xml:space="preserve"> وأكبر-2019 ،</w:t>
      </w:r>
    </w:p>
    <w:p>
      <w:pPr/>
      <w:r>
        <w:rPr>
          <w:shd w:val="clear" w:fill="eeee80"/>
        </w:rPr>
        <w:t xml:space="preserve">الرطوبة (الطريقة رقم 44-5.</w:t>
      </w:r>
    </w:p>
    <w:p>
      <w:pPr/>
      <w:r>
        <w:rPr>
          <w:shd w:val="clear" w:fill="eeee80"/>
        </w:rPr>
        <w:t xml:space="preserve">محتوى الرماد (الطريقة رقم 08-01)  </w:t>
      </w:r>
    </w:p>
    <w:p>
      <w:pPr/>
      <w:r>
        <w:rPr>
          <w:shd w:val="clear" w:fill="eeee80"/>
        </w:rPr>
        <w:t xml:space="preserve">محتوى الدهون (الطريقة رقم 30-25)  </w:t>
      </w:r>
    </w:p>
    <w:p>
      <w:pPr/>
      <w:r>
        <w:rPr>
          <w:shd w:val="clear" w:fill="eeee80"/>
        </w:rPr>
        <w:t xml:space="preserve">البروتين الخام (الطريقة رقم 46-10.</w:t>
      </w:r>
    </w:p>
    <w:p>
      <w:pPr/>
      <w:r>
        <w:rPr>
          <w:shd w:val="clear" w:fill="eeee80"/>
        </w:rPr>
        <w:t xml:space="preserve">الألياف الخام (الطريقة رقم 32-10.</w:t>
      </w:r>
    </w:p>
    <w:p>
      <w:pPr/>
      <w:r>
        <w:rPr/>
        <w:t xml:space="preserve"> 01).ولتقييم الصفات التي تنقلها تقنيات الطهي المختلفة إلى المنتج النهائي ، تم إنتاج المنتج باستخدام ثلاث تقنيات مختلفة.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2026-09-13T20:36:36+00:00</dcterms:created>
  <dcterms:modified xsi:type="dcterms:W3CDTF">2026-09-13T20:36:36+00:00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