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قوانين حمورابي عند البابليين منذ ألفي سنة قبل الميلاد من أولى القواعد التي أحكمت المعاملات التجارية.  أسس الفينيقيين لاحقا الأعراف التجارية المتعلقة بالخسائر البحرية.  أمّا عند الإغريق والرومان فإنّ وحدة القانون لم تسمح بظهور القانون التجاري كمفهوم مستقل عن القانون المدني،  وعلى الأخص كون التجارة لا تعتبر من نشاطات النبلاء أو العامة وإنما كانت من نشاطات العبيد،  توسع مفهوم القانون التجاري في العصور الوسطى بشكل كبير بسبب توسع حركة التجارة والمعاملات التجارية بين العامة. أما في العصر الحديث فشهدت هذه الفترة اكتشاف طرق جديدة تمكن التجار من الإستعاضة عن طريق رأس الرجاء الصالح كما تم اكتشاف الذهب والفضة وجدت فكرة الودائع والاقتراض من البنوك وظهر تداول الأوراق المالية أدى هذا التسارع في تطور طرق التعامل التجاري وتعقيده إلى ظهور القانون التجاري الفرنسي سنة 1807.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