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Sverige har en lang tradition av starkt skydd for manskliga rattigheter.Enligt svensk lag har alla ratt till tanke-, asikts- och yttrandefrihet, samt ratt till religionsfrihet och motesfrihet.Bland annat har Sverige en ombudsman for barn, Diskrimineringsombudsmannen (DO) och en internationell manskliga rattigheter institution Regeringsformen sakerstaller att alla manniskor i Sverige har ratt till lika varde och respekt.Sverige har aven genom internationella konventioner atagit sig att respektera och skydda manskliga rattigheter som ratten till liv, ratten till frihet och sakerhet, ratten till utbildning och ratten till arbete.I Sverige rader aven nolltolerans mot diskriminering och trakasserier pa grund av kon, alder, sexuell laggning, etnicitet eller funktionsvariation.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