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الطعن بالنقد أمام المحكمة العليا هو وسيلة قانونية تهدف إلى مراجعة الأحكام الصادرة عن محاكم الدرجة الثانية أو محاكم الاستئناف للتحقق من مدى صحة تطبيق القانون.</w:t>
      </w:r>
    </w:p>
    <w:p>
      <w:pPr/>
      <w:r>
        <w:rPr/>
        <w:t xml:space="preserve"> بل يقتصر على مراقبة صحة الإجراءات القانونية وتطبيق النصوص التشريعية.</w:t>
      </w:r>
    </w:p>
    <w:p>
      <w:pPr/>
      <w:r>
        <w:rPr>
          <w:shd w:val="clear" w:fill="eeee80"/>
        </w:rPr>
        <w:t xml:space="preserve"> سنستعرض فيما يلي أهم أوجه الطعن بالنقد أمام المحكمة العليا:</w:t>
      </w:r>
    </w:p>
    <w:p>
      <w:pPr/>
      <w:r>
        <w:rPr>
          <w:shd w:val="clear" w:fill="eeee80"/>
        </w:rPr>
        <w:t xml:space="preserve">### 1.</w:t>
      </w:r>
    </w:p>
    <w:p>
      <w:pPr/>
      <w:r>
        <w:rPr>
          <w:shd w:val="clear" w:fill="eeee80"/>
        </w:rPr>
        <w:t xml:space="preserve"> **أوجه الطعن بالنقد:**</w:t>
      </w:r>
    </w:p>
    <w:p>
      <w:pPr/>
      <w:r>
        <w:rPr>
          <w:shd w:val="clear" w:fill="eeee80"/>
        </w:rPr>
        <w:t xml:space="preserve">الطعن بالنقد يُثار عادةً على أساس أحد الأوجه التالية:</w:t>
      </w:r>
    </w:p>
    <w:p>
      <w:pPr/>
      <w:r>
        <w:rPr>
          <w:shd w:val="clear" w:fill="eeee80"/>
        </w:rPr>
        <w:t xml:space="preserve">   </w:t>
      </w:r>
    </w:p>
    <w:p>
      <w:pPr/>
      <w:r>
        <w:rPr>
          <w:shd w:val="clear" w:fill="eeee80"/>
        </w:rPr>
        <w:t xml:space="preserve"> **مخالفة القانون أو الخطأ في تطبيقه أو تفسيره**  </w:t>
      </w:r>
    </w:p>
    <w:p>
      <w:pPr/>
      <w:r>
        <w:rPr>
          <w:shd w:val="clear" w:fill="eeee80"/>
        </w:rPr>
        <w:t xml:space="preserve">#### ب.</w:t>
      </w:r>
    </w:p>
    <w:p>
      <w:pPr/>
      <w:r>
        <w:rPr>
          <w:shd w:val="clear" w:fill="eeee80"/>
        </w:rPr>
        <w:t xml:space="preserve"> **انعدام الأساس القانوني للحكم**  </w:t>
      </w:r>
    </w:p>
    <w:p>
      <w:pPr/>
      <w:r>
        <w:rPr/>
        <w:t xml:space="preserve">   - إذا كان الحكم غير قائم على أسس قانونية واضحة أو إذا أغفلت المحكمة ذكر الأسس التي استندت إليها في حكمها،</w:t>
      </w:r>
    </w:p>
    <w:p>
      <w:pPr/>
      <w:r>
        <w:rPr>
          <w:shd w:val="clear" w:fill="eeee80"/>
        </w:rPr>
        <w:t xml:space="preserve">#### ج.</w:t>
      </w:r>
    </w:p>
    <w:p>
      <w:pPr/>
      <w:r>
        <w:rPr>
          <w:shd w:val="clear" w:fill="eeee80"/>
        </w:rPr>
        <w:t xml:space="preserve"> **القصور في التعليل أو التسبيب**  </w:t>
      </w:r>
    </w:p>
    <w:p>
      <w:pPr/>
      <w:r>
        <w:rPr>
          <w:shd w:val="clear" w:fill="eeee80"/>
        </w:rPr>
        <w:t xml:space="preserve"> فإذا كان الحكم قاصرًا في التعليل أو غير مسبب،</w:t>
      </w:r>
    </w:p>
    <w:p>
      <w:pPr/>
      <w:r>
        <w:rPr>
          <w:shd w:val="clear" w:fill="eeee80"/>
        </w:rPr>
        <w:t xml:space="preserve">#### د.</w:t>
      </w:r>
    </w:p>
    <w:p>
      <w:pPr/>
      <w:r>
        <w:rPr>
          <w:shd w:val="clear" w:fill="eeee80"/>
        </w:rPr>
        <w:t xml:space="preserve">   - إذا تجاوزت المحكمة سلطتها أو نظرت في قضية لا تدخل ضمن اختصاصها،</w:t>
      </w:r>
    </w:p>
    <w:p>
      <w:pPr/>
      <w:r>
        <w:rPr>
          <w:shd w:val="clear" w:fill="eeee80"/>
        </w:rPr>
        <w:t xml:space="preserve">#### هـ.</w:t>
      </w:r>
    </w:p>
    <w:p>
      <w:pPr/>
      <w:r>
        <w:rPr>
          <w:shd w:val="clear" w:fill="eeee80"/>
        </w:rPr>
        <w:t xml:space="preserve">#### و.</w:t>
      </w:r>
    </w:p>
    <w:p>
      <w:pPr/>
      <w:r>
        <w:rPr/>
        <w:t xml:space="preserve"> **الإخلال بحقوق الدفاع**  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 **إجراءات الطعن بالنقد:**</w:t>
      </w:r>
    </w:p>
    <w:p>
      <w:pPr/>
      <w:r>
        <w:rPr>
          <w:shd w:val="clear" w:fill="eeee80"/>
        </w:rPr>
        <w:t xml:space="preserve">#### أ.</w:t>
      </w:r>
    </w:p>
    <w:p>
      <w:pPr/>
      <w:r>
        <w:rPr>
          <w:shd w:val="clear" w:fill="eeee80"/>
        </w:rPr>
        <w:t xml:space="preserve"> **الجهة المختصة**  </w:t>
      </w:r>
    </w:p>
    <w:p>
      <w:pPr/>
      <w:r>
        <w:rPr>
          <w:shd w:val="clear" w:fill="eeee80"/>
        </w:rPr>
        <w:t xml:space="preserve"> حسب النظام القضائي في الدولة.</w:t>
      </w:r>
    </w:p>
    <w:p>
      <w:pPr/>
      <w:r>
        <w:rPr>
          <w:shd w:val="clear" w:fill="eeee80"/>
        </w:rPr>
        <w:t xml:space="preserve"> **المدة الزمنية**  </w:t>
      </w:r>
    </w:p>
    <w:p>
      <w:pPr/>
      <w:r>
        <w:rPr>
          <w:shd w:val="clear" w:fill="eeee80"/>
        </w:rPr>
        <w:t xml:space="preserve"> تختلف من بلد إلى آخر (عادة بين 30-60 يومًا).</w:t>
      </w:r>
    </w:p>
    <w:p>
      <w:pPr/>
      <w:r>
        <w:rPr>
          <w:shd w:val="clear" w:fill="eeee80"/>
        </w:rPr>
        <w:t xml:space="preserve"> **صيغة الطعن**  </w:t>
      </w:r>
    </w:p>
    <w:p>
      <w:pPr/>
      <w:r>
        <w:rPr>
          <w:shd w:val="clear" w:fill="eeee80"/>
        </w:rPr>
        <w:t xml:space="preserve">#### د.</w:t>
      </w:r>
    </w:p>
    <w:p>
      <w:pPr/>
      <w:r>
        <w:rPr>
          <w:shd w:val="clear" w:fill="eeee80"/>
        </w:rPr>
        <w:t xml:space="preserve"> نقض الحكم وإعادة القضية إلى محكمة الاستئناف.</w:t>
      </w:r>
    </w:p>
    <w:p>
      <w:pPr/>
      <w:r>
        <w:rPr/>
        <w:t xml:space="preserve">     2.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### 3.</w:t>
      </w:r>
    </w:p>
    <w:p>
      <w:pPr/>
      <w:r>
        <w:rPr>
          <w:shd w:val="clear" w:fill="eeee80"/>
        </w:rPr>
        <w:t xml:space="preserve"> **أهمية الطعن بالنقد:**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2026-09-13T10:00:51+00:00</dcterms:created>
  <dcterms:modified xsi:type="dcterms:W3CDTF">2026-09-13T10:00:51+00:00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