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Tesco's success hinges on its robust Supply Chain Management (SCM), impacting cost efficiency, operational flexibility, and supplier relationships.  SCM's sophisticated logistics and inventory management minimize costs and allow for competitive pricing.  Real-time data analysis enables swift adaptation to changing consumer demands.  Strong supplier partnerships ensure high-quality, sustainably sourced products.  Advanced technologies, like AI and ML, improve forecasting and demand management.  Tesco's COVID-19 response included expanded online shopping, enhanced safety measures, prioritized vulnerable customers, and supported staff welfare and community initiatives.  Risk management involves comprehensive assessments, diverse supplier networks, crisis management plans, financial protection, and employee training.  A balanced scorecard tracks financial, customer, internal process, and learning & growth metrics, offering a holistic performance view and informing strategic decisions.  Management accounting's integration with SCM provides crucial cost analysis, budgeting, forecasting, and performance measurement tools, ultimately optimizing resource allocation.  Effective SCM directly boosts customer satisfaction through product availability, timely delivery, quality assurance, and responsiveness to feedback, leading to enhanced brand loyalty and reputation.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