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استهلاك الطاقة: تتطلب المضخات،</w:t>
      </w:r>
    </w:p>
    <w:p>
      <w:pPr/>
      <w:r>
        <w:rPr>
          <w:shd w:val="clear" w:fill="eeee80"/>
        </w:rPr>
        <w:t xml:space="preserve"> خصوصًا في الأنظمة الكبيرة مثل تلك المستخدمة في الري أو إمدادات المياه أو الصناعة،</w:t>
      </w:r>
    </w:p>
    <w:p>
      <w:pPr/>
      <w:r>
        <w:rPr/>
        <w:t xml:space="preserve"> وهذا قد يؤدي إلى انبعاثات غازات دفيئة،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2026-10-16T12:07:29+00:00</dcterms:created>
  <dcterms:modified xsi:type="dcterms:W3CDTF">2026-10-16T12:07:29+00:00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