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استهلاك الطاقة: تتطلب المضخات،</w:t>
      </w:r>
    </w:p>
    <w:p>
      <w:pPr/>
      <w:r>
        <w:rPr>
          <w:shd w:val="clear" w:fill="eeee80"/>
        </w:rPr>
        <w:t xml:space="preserve"> خصوصًا في الأنظمة الكبيرة مثل تلك المستخدمة في الري أو إمدادات المياه أو الصناعة،</w:t>
      </w:r>
    </w:p>
    <w:p>
      <w:pPr/>
      <w:r>
        <w:rPr/>
        <w:t xml:space="preserve"> وهذا قد يؤدي إلى انبعاثات غازات دفيئة،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2026-09-10T02:01:48+00:00</dcterms:created>
  <dcterms:modified xsi:type="dcterms:W3CDTF">2026-09-10T02:01:48+00:00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