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ومن أمثلة هذه القواعد التي تنهى عن القتل وعن السرقة وعن التزوير والرشوة أو التي تفرض أداء الضرائب أو الخدمة الوطنية،</w:t>
      </w:r>
    </w:p>
    <w:p>
      <w:pPr/>
      <w:r>
        <w:rPr/>
        <w:t xml:space="preserve"> أو تلك التي تحدد حد السعر الفائدة الاتفاقية لا يجوز تجاوزه،</w:t>
      </w:r>
    </w:p>
    <w:p>
      <w:pPr/>
      <w:r>
        <w:rPr>
          <w:shd w:val="clear" w:fill="eeee80"/>
        </w:rPr>
        <w:t xml:space="preserve"> أو التي تمنع القضاة من شراء الحقوق المتنازع فيها إذا كان النظر في النزاع يدخل في اختصاص المحكمة التي يباشرون أعمالهم في دائرتها.</w:t>
      </w:r>
    </w:p>
    <w:p>
      <w:pPr/>
      <w:r>
        <w:rPr>
          <w:shd w:val="clear" w:fill="eeee80"/>
        </w:rPr>
        <w:t xml:space="preserve">فالقاعدة التي تحرّم القتل مثلا هي قاعدة آمرة فهي تواجه ظاهرة يمكن أن تحدث في المجتمع وهي ظاهرة خطيرة حيث لا يقتصر أثرها لو حدثت على الإضرار بالقتيل أو</w:t>
      </w:r>
    </w:p>
    <w:p>
      <w:pPr/>
      <w:r>
        <w:rPr>
          <w:shd w:val="clear" w:fill="eeee80"/>
        </w:rPr>
        <w:t xml:space="preserve"> بل تمتد إلى المساس بكيان المجتمع،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2026-09-14T09:24:50+00:00</dcterms:created>
  <dcterms:modified xsi:type="dcterms:W3CDTF">2026-09-14T09:24:50+00:00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