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هناك رأي شائع لدى بعض الباحثين والنقاد من متأخرين ومعاصرين بأن أدب «المقامات» منذ ظهر في النثر العربي على صورته المتميزة في «مقامات» بديع الزمان الهمذاني الرائد الأول لهذا الفن،</w:t>
      </w:r>
    </w:p>
    <w:p>
      <w:pPr/>
      <w:r>
        <w:rPr/>
        <w:t xml:space="preserve"> انما ظهر لغرض محض لغوي.</w:t>
      </w:r>
    </w:p>
    <w:p>
      <w:pPr/>
      <w:r>
        <w:rPr>
          <w:shd w:val="clear" w:fill="eeee80"/>
        </w:rPr>
        <w:t xml:space="preserve"> وهم يقصدون ان البديع ومن جرى على طريقته بعد ذلك حتى عهد الحريري والعهود التالية له،</w:t>
      </w:r>
    </w:p>
    <w:p>
      <w:pPr/>
      <w:r>
        <w:rPr/>
        <w:t xml:space="preserve"> لم ينشئوا هذا الطراز من النثر الا وسيلة لاظهار المقدرة اللغوية،</w:t>
      </w:r>
    </w:p>
    <w:p>
      <w:pPr/>
      <w:r>
        <w:rPr>
          <w:shd w:val="clear" w:fill="eeee80"/>
        </w:rPr>
        <w:t xml:space="preserve"> أو لحفظ غريب اللغة في قوالب انشائية،</w:t>
      </w:r>
    </w:p>
    <w:p>
      <w:pPr/>
      <w:r>
        <w:rPr>
          <w:shd w:val="clear" w:fill="eeee80"/>
        </w:rPr>
        <w:t xml:space="preserve"> أو لتكون هذه القوالب نماذج للمتعلمين يحفظونها عن ظهر قلب،</w:t>
      </w:r>
    </w:p>
    <w:p>
      <w:pPr/>
      <w:r>
        <w:rPr>
          <w:shd w:val="clear" w:fill="eeee80"/>
        </w:rPr>
        <w:t xml:space="preserve"> فيتعلمون بها مفردات وأساليب الانشاء في وقت معاً،</w:t>
      </w:r>
    </w:p>
    <w:p>
      <w:pPr/>
      <w:r>
        <w:rPr/>
        <w:t xml:space="preserve"> ويتخذونها عدة وأداة جاهزتين .</w:t>
      </w:r>
    </w:p>
    <w:p>
      <w:pPr/>
      <w:r>
        <w:rPr>
          <w:shd w:val="clear" w:fill="eeee80"/>
        </w:rPr>
        <w:t xml:space="preserve"> وهل يثبت للنقد العلمي القائم على فهم العلاقة بين الأدب - كل فنون الأدب - وبين الحياة،</w:t>
      </w:r>
    </w:p>
    <w:p>
      <w:pPr/>
      <w:r>
        <w:rPr/>
        <w:t xml:space="preserve"> حياة المجتمع البشري اطلاقاً؟ .</w:t>
      </w:r>
    </w:p>
    <w:p>
      <w:pPr/>
      <w:r>
        <w:rPr>
          <w:shd w:val="clear" w:fill="eeee80"/>
        </w:rPr>
        <w:t xml:space="preserve">اذا سلمنا بأن هذه العلاقة بين الأدب والحياة علاقة واقعية لا يمكن انكارها وقد صرنا الى زمن لم يبق فيه من ينكرها ولا بوجه،</w:t>
      </w:r>
    </w:p>
    <w:p>
      <w:pPr/>
      <w:r>
        <w:rPr>
          <w:shd w:val="clear" w:fill="eeee80"/>
        </w:rPr>
        <w:t xml:space="preserve"> فانه من البداهة ان يقوم في اذهاننا اذن ان نشوء فن من فنون الأدب مهما كان شأنه في عصر معين وفي مجتمع معين،</w:t>
      </w:r>
    </w:p>
    <w:p>
      <w:pPr/>
      <w:r>
        <w:rPr>
          <w:shd w:val="clear" w:fill="eeee80"/>
        </w:rPr>
        <w:t xml:space="preserve"> لا بد ان يكون بين نشوء هذا الفن وبين عصره ومجتمعه صلة أقوى حياة وأعمق أصولاً من مجرد كونه ظاهرة لغوية على هذا النحو الميكانيكي الذي يفسرون به ظاهرة نشوء «المقامات»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2026-09-16T11:55:44+00:00</dcterms:created>
  <dcterms:modified xsi:type="dcterms:W3CDTF">2026-09-16T11:55:44+00:00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