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البروتينات هي جزيئات كبيرة تتكون من سلسلة من الأحماض الأمينية التي يتم تحديد تسلسلها بواسطة الشفرة الجينية لكل منها.</w:t>
      </w:r>
    </w:p>
    <w:p>
      <w:pPr/>
      <w:r>
        <w:rPr>
          <w:shd w:val="clear" w:fill="eeee80"/>
        </w:rPr>
        <w:t xml:space="preserve">هناك 20 حمضًا أمينيًا تُستخدم في تخليق البروتينات في الكائنات الحية.</w:t>
      </w:r>
    </w:p>
    <w:p>
      <w:pPr/>
      <w:r>
        <w:rPr>
          <w:shd w:val="clear" w:fill="eeee80"/>
        </w:rPr>
        <w:t xml:space="preserve"> يمكن أن تخضع البروتينات لتعديلات ما بعد الترجمة تؤدي إلى ربط مركبات أخرى بسلسلة البوليببتيد (الكربوهيدرات والدهون والمعادن والفوسفور وما إلى ذلك).</w:t>
      </w:r>
    </w:p>
    <w:p>
      <w:pPr/>
      <w:r>
        <w:rPr>
          <w:shd w:val="clear" w:fill="eeee80"/>
        </w:rPr>
        <w:t xml:space="preserve">• تتجدد بروتينات الجسم باستمرار،</w:t>
      </w:r>
    </w:p>
    <w:p>
      <w:pPr/>
      <w:r>
        <w:rPr>
          <w:shd w:val="clear" w:fill="eeee80"/>
        </w:rPr>
        <w:t xml:space="preserve"> حيث يبلغ التوازن الديناميكي بين تخليق البروتين وتحليله حوالي 250-300 جرام/يوم لدى البشر البالغين،</w:t>
      </w:r>
    </w:p>
    <w:p>
      <w:pPr/>
      <w:r>
        <w:rPr>
          <w:shd w:val="clear" w:fill="eeee80"/>
        </w:rPr>
        <w:t xml:space="preserve">5% من إجمالي كتلة البروتين.</w:t>
      </w:r>
    </w:p>
    <w:p>
      <w:pPr/>
      <w:r>
        <w:rPr>
          <w:shd w:val="clear" w:fill="eeee80"/>
        </w:rPr>
        <w:t xml:space="preserve">• تشارك هذه البروتينات في جميع الوظائف الفسيولوجية الرئيسية (بنية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2026-10-12T17:19:36+00:00</dcterms:created>
  <dcterms:modified xsi:type="dcterms:W3CDTF">2026-10-12T17:19:36+00:00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