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وهي مسؤولة عن الإشراف على جميع حالات الطوارئ التي تتطلب مساعدات إنسانية من الأمم المتحدة،</w:t>
      </w:r>
    </w:p>
    <w:p>
      <w:pPr/>
      <w:r>
        <w:rPr/>
        <w:t xml:space="preserve"> والتي تشمل الكوارث الطبيعية، بل تشمل أيضًاالأزمة الإنسانية التي تحدث بفعل الإنسان.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2026-11-07T15:30:10+00:00</dcterms:created>
  <dcterms:modified xsi:type="dcterms:W3CDTF">2026-11-07T15:30:10+00:00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