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التنظيم القضائي مجموع القواعد القانونية المنظمة للسلطة القضائية بشكل عام والمتعلق بالجهات القضائية على اختلاف أنواعها ودرجاتها وكذا الشروط المتعلقة بتعيين القضاة ونظام انضباطهم .</w:t>
      </w:r>
    </w:p>
    <w:p>
      <w:pPr/>
      <w:r>
        <w:rPr>
          <w:shd w:val="clear" w:fill="eeee80"/>
        </w:rPr>
        <w:t xml:space="preserve">‎وقد مرّ التنظيم القضائي الجزائري بعدة محطات أساسية،</w:t>
      </w:r>
    </w:p>
    <w:p>
      <w:pPr/>
      <w:r>
        <w:rPr>
          <w:shd w:val="clear" w:fill="eeee80"/>
        </w:rPr>
        <w:t xml:space="preserve">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w:t>
      </w:r>
    </w:p>
    <w:p>
      <w:pPr/>
      <w:r>
        <w:rPr>
          <w:shd w:val="clear" w:fill="eeee80"/>
        </w:rPr>
        <w:t xml:space="preserve"> مما أدى إلى ظهور توجهات جديدة ثم تفعيلها بإحداث اللجنة الوطنية لإصلاح العدالة سنة 1999،</w:t>
      </w:r>
    </w:p>
    <w:p>
      <w:pPr/>
      <w:r>
        <w:rPr>
          <w:shd w:val="clear" w:fill="eeee80"/>
        </w:rPr>
        <w:t xml:space="preserve"> و كذا معالجة العديد من النصوص التي لها علاقة بالتنظيم القضائي الجزائري كالقانون الأساسي للقضاء والقانون العضوي المتعلق بالمجلس الأعلى للقضاء وكذا إلغاء الأمر رقم 65-278 بصدور القانون العضوي رقم 05-11 والمتعلق بالتنظيم القضائي الجزائري وقد نص في المادة 2 على: "أن التنظيم القضائي يشمل النظام القضائي العادي والنظام القضائي الإداري و محكمة التنازع" وسنتطرق لهذه الأجهزة من خلال المباحث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2026-09-21T19:25:42+00:00</dcterms:created>
  <dcterms:modified xsi:type="dcterms:W3CDTF">2026-09-21T19:25:42+00:00</dcterms:modified>
</cp:coreProperties>
</file>

<file path=docProps/custom.xml><?xml version="1.0" encoding="utf-8"?>
<Properties xmlns="http://schemas.openxmlformats.org/officeDocument/2006/custom-properties" xmlns:vt="http://schemas.openxmlformats.org/officeDocument/2006/docPropsVTypes"/>
</file>