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/><w:t xml:space="preserve">The diagnosis usually based on clinical history& examination , andby ultrasound ( usually transvaginal one ) , which is used to differentiatemiscarriage from other type of early pregnancy complication as ectopicpregnancy or molar pregnancy , also to know the type of miscarriage .There's no specific treatment and the essential task is to establish thatthe miscarriage is threatened and is not becoming inevitable .- Clinical surveillance including weekly ultrasound examination , and anevaluation of serum measurements of the beta subunit of hCG ,progesterone and pregnancy associated placental protein A( PAPP-A) .</w:t></w:r></w:p><w:sectPr><w:footerReference w:type="default" r:id="rId7"/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2026-10-19T04:16:05+00:00</dcterms:created>
  <dcterms:modified xsi:type="dcterms:W3CDTF">2026-10-19T04:16:05+00:00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