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الشخصيات الرئيسية    لكنه لم يستسلم بل واصل تقديم الطلبات في النهاية حصل على الدكتوراه بعد مناقشة علنية أمام لجنة من كبار الأساتذة عام 1914.  بحجة القوانين الرسمية والكلفة المالية الإضافية.  أبدى إعجاباً شديداً بطه حسين عندما ألقى كلمة بالسريانية في مناسبة علمية.  شعر بالفخر به مرتين: عند إلقائه بحثاً في مؤتمر المستشرقين في هولندا،  عذب الصوت وخفيف الروح.  لكن طموحه دفعه للعمل مدرساً في كلية "الفرير" ليزيد دخله ويحقق رغباته.  و"فائق" في باقي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