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لقد راينا فيما سبق ان اساس ومناط تصنيف اشكال وانظمة الحكم في الدولة يكاد ينحصر في المكانة او الدور الذي يلعبه الشعب في مجال السلطة السياسية بتعيين الحكام ومراقبتهم من جهة وباختيارات توجيهات البلاد والتدخل بوسائل وطرق شتى في ادارة وتسيير الشؤون العامة الى غير ذلك من جهة اخرى .</w:t>
      </w:r>
    </w:p>
    <w:p>
      <w:pPr/>
      <w:r>
        <w:rPr>
          <w:shd w:val="clear" w:fill="eeee80"/>
        </w:rPr>
        <w:t xml:space="preserve">فكلما كان الشعب هو مصدر السسلطة كان فيي نظام ديمغرافي وكلما ابعد الشعب عنها واقصى منها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2026-11-08T17:30:22+00:00</dcterms:created>
  <dcterms:modified xsi:type="dcterms:W3CDTF">2026-11-08T17:30:22+00:00</dcterms:modified>
</cp:coreProperties>
</file>

<file path=docProps/custom.xml><?xml version="1.0" encoding="utf-8"?>
<Properties xmlns="http://schemas.openxmlformats.org/officeDocument/2006/custom-properties" xmlns:vt="http://schemas.openxmlformats.org/officeDocument/2006/docPropsVTypes"/>
</file>