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تتحرك العينة السائلة (أو مستخلصها) التي تحتوي على المادة التحليلية المعنية عن طريق العمل الشعري عبر مناطق مختلفة من شرائط البوليمر التي ترتبط بها الجزيئات التي يمكن أن تتفاعل مع المادة التحليلية.</w:t>
      </w:r>
    </w:p>
    <w:p>
      <w:pPr/>
      <w:r>
        <w:rPr>
          <w:shd w:val="clear" w:fill="eeee80"/>
        </w:rPr>
        <w:t xml:space="preserve">• يتكون شريط اختبار التدفق الجانبي النموذجي من أغشية متداخلة يتم تركيبها على لوحة حاملة لتحسين الاستقرار والتعامل.</w:t>
      </w:r>
    </w:p>
    <w:p>
      <w:pPr/>
      <w:r>
        <w:rPr>
          <w:shd w:val="clear" w:fill="eeee80"/>
        </w:rPr>
        <w:t xml:space="preserve">يتكون اختبار التدفق الجانبي (LFA) من أربعة أجزاء: لوحة العينة،</w:t>
      </w:r>
    </w:p>
    <w:p>
      <w:pPr/>
      <w:r>
        <w:rPr>
          <w:shd w:val="clear" w:fill="eeee80"/>
        </w:rPr>
        <w:t xml:space="preserve"> حيث يتم دمج الملصقات المميزة مع عناصر التعرف البيولوجي؛</w:t>
      </w:r>
    </w:p>
    <w:p>
      <w:pPr/>
      <w:r>
        <w:rPr>
          <w:shd w:val="clear" w:fill="eeee80"/>
        </w:rPr>
        <w:t xml:space="preserve"> غشاء التفاعل الذي يحتوي على خط اختبار وخط تحكم للتفاعل بين المستضد والجسم المضاد؛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2026-10-07T05:07:53+00:00</dcterms:created>
  <dcterms:modified xsi:type="dcterms:W3CDTF">2026-10-07T05:07:53+00:00</dcterms:modified>
</cp:coreProperties>
</file>

<file path=docProps/custom.xml><?xml version="1.0" encoding="utf-8"?>
<Properties xmlns="http://schemas.openxmlformats.org/officeDocument/2006/custom-properties" xmlns:vt="http://schemas.openxmlformats.org/officeDocument/2006/docPropsVTypes"/>
</file>