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Governance and Administration </w:t>
      </w:r>
    </w:p>
    <w:p>
      <w:pPr/>
      <w:r>
        <w:rPr>
          <w:shd w:val="clear" w:fill="eeee80"/>
        </w:rPr>
        <w:t xml:space="preserve">يجب على كلية الطب أن تحدد هياكلها الإدارية ووظائفها بما في ذلك علاقاتها داخل الجامعة وأن تعكس تمثيل أصحاب المصلحة الرئيسيين والذين يشملون العميد،</w:t>
      </w:r>
    </w:p>
    <w:p>
      <w:pPr/>
      <w:r>
        <w:rPr>
          <w:shd w:val="clear" w:fill="eeee80"/>
        </w:rPr>
        <w:t xml:space="preserve"> قيادة الجامعة وإدارتها،</w:t>
      </w:r>
    </w:p>
    <w:p>
      <w:pPr/>
      <w:r>
        <w:rPr>
          <w:shd w:val="clear" w:fill="eeee80"/>
        </w:rPr>
        <w:t xml:space="preserve"> والسلطات الحكومية ذات الصلة والهيئات التنظيمية بالاضافة الى اصحاب المصلحة الاخرين (غير الرئيسيين).</w:t>
      </w:r>
    </w:p>
    <w:p>
      <w:pPr/>
      <w:r>
        <w:rPr>
          <w:shd w:val="clear" w:fill="eeee80"/>
        </w:rPr>
        <w:t xml:space="preserve">2. القيادة الاكاديمية </w:t>
      </w:r>
    </w:p>
    <w:p>
      <w:pPr/>
      <w:r>
        <w:rPr>
          <w:shd w:val="clear" w:fill="eeee80"/>
        </w:rPr>
        <w:t xml:space="preserve">يجب أن تصف كلية الطب مسؤوليات قيادتها الأكاديمية </w:t>
      </w:r>
    </w:p>
    <w:p>
      <w:pPr/>
      <w:r>
        <w:rPr>
          <w:shd w:val="clear" w:fill="eeee80"/>
        </w:rPr>
        <w:t xml:space="preserve">بالاضافة الى إجراء تقييم دوري لقيادتها فيما يتعلق بتحقيق رسالتها ومخرجاتها.</w:t>
      </w:r>
    </w:p>
    <w:p>
      <w:pPr/>
      <w:r>
        <w:rPr>
          <w:shd w:val="clear" w:fill="eeee80"/>
        </w:rPr>
        <w:t xml:space="preserve">3. الميزانية التعليمية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2026-10-19T17:41:23+00:00</dcterms:created>
  <dcterms:modified xsi:type="dcterms:W3CDTF">2026-10-19T17:41:23+00:00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