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جدلاً قائماً حول دمج المنهجيات الكمية والكيفية في البحوث، خاصةً في العلوم الإنسانية والاجتماعية.  فبينما يرى بعض الباحثين انفصالاً تاماً بين المنهجين،  يؤكد آخرون، مثل بريمان وبرينان، على أهمية الجمع بينهما لإنتاج بحوث أكثر قيمة ومصداقية.  يركز النص على الحاجة لتقييم الأسئلة الأنطولوجية والمعرفية الكامنة وراء كل منهج،  مع التركيز على استخدام الاستبيانات والتحليل الإحصائي في المنهج الكمي.  يختم النص بالتأكيد على أهمية اختيار الباحث للمنهج الأنسب لتحقيق أهداف بحثه،  مُسلطاً الضوء على العلاقة بين المنهجين الكمي والكيفي.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2026-09-30T19:53:49+00:00</dcterms:created>
  <dcterms:modified xsi:type="dcterms:W3CDTF">2026-09-30T19:53:49+00:00</dcterms:modified>
</cp:coreProperties>
</file>

<file path=docProps/custom.xml><?xml version="1.0" encoding="utf-8"?>
<Properties xmlns="http://schemas.openxmlformats.org/officeDocument/2006/custom-properties" xmlns:vt="http://schemas.openxmlformats.org/officeDocument/2006/docPropsVTypes"/>
</file>