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  � /R0  −  1  ×  100Inhibition  (%)  de  l'oxyde  nitrique  =  [(Témoin  −  Test)/Témoin]  ×  100ConclusionsDisponibilité  des  donnéesLe  surnageant  a  été  transféré  judicieusement  dans  une  nouvelle  plaque  à  96  puits  et  traité  pour  la  détermination  du  NO,  tandis  que  les  cellules  restées  dans  l'ancienne  plaque  ont  été  utilisées  pour  le  protocole  MTT,  afin  de  déterminer  le  pourcentage  de  cellules  viables.Les  échantillons  (stock)  ont  été  dissous  dans  du  DMSO  et  les  échantillons  de  travail  ont  été  préparés  dans  le  milieu.  Les  cellules  viables  ont  été  déterminées  par  la  réduction  de  la  dépendance  mitochondriale  du  MTT  jaune  (3­(4,5­diméthylthiazol­2­yl)­bromure  de  2,5­diphényltétrazolium)  en  formazan  violet37.  Le  pourcentage  de  changement  du  nombre  de  cellules  viables  a  été  mesuré  selon  l'équation  suivante :Comme  R*  est  la  lecture  de  l'extrait,  et  R0  la  lecture  du  contrôle.Activité  anti­inflammatoire  in  vitro.  Culture  cellulaire.  La  lignée  cellulaire  de  macrophages  RAW  264.7  a  été  acquise  auprès  de  l'ATCC  (American  type  culture  collection).  Les  cellules  ont  été  cultivées  dans  du  milieu  RPMI,  1640  (Institute  of  Roswell  Park  Memorial)  et  sub­ensemencées  avec  1  %  de  pen/strep  et  10  %  de  sérum  bovin  fœtal  résistant  à  la  chaleur.  Les  cellules  ont  été  transférées  dans  un  incubateur  humidifié,  dans  une  ambiance  de  5  %  de  CO2  à  37  °C,  et  elles  ont  été  sub­cultivées  deux  fois  avant  le  test.Après  24  h  d'ensemencement,  1  ×  105  cellules  par  puits  (dans  des  plaques  à  96  puits)  ont  été  incubées  pendant  un  jour  pour  le  test.  Les  cellules  ont  ensuite  été  traitées  avec  les  échantillons  à  différentes  concentrations  de  10,  20,  40,  80  et  100  µg  g−1  et  incubées  pendant  60  min.  Les  cellules  ont  ensuite  été  enrichies  avec  10  μg  ml−1  de  LPS,  comme  contrôle  négatif,  pendant  un  autre  jour.Compte  rendu.  Les  comptes  rendus  suivants  ont  été  obtenus  dans  une  zone  stérile  en  utilisant  une  armoire  à  flux  laminaire  de  sécurité  biologique  de  classe  II  (Baker,  SG403INT,  Sanford,  ME,  États­Unis).  Les  cellules  RAW  264,7  ont  été  suspendues  dans  du  milieu  RPMI.0,5  norme  McFarland).  Les  plaques  Te  ont  été  incubées  à  25  °C  pendant  24  à  48  h.  À  la  fin  de  la  période  d'incubation,  une  croissance  mycélienne  a  été  observée  et  la  CMI  a  été  déterminée.</w:t>
      </w:r>
    </w:p>
    <w:p>
      <w:pPr/>
      <w:r>
        <w:rPr>
          <w:shd w:val="clear" w:fill="eeee80"/>
        </w:rPr>
        <w:t xml:space="preserve">Protocole  d'oxyde  nitrique  (NO).</w:t>
      </w:r>
    </w:p>
    <w:p>
      <w:pPr/>
      <w:r>
        <w:rPr/>
        <w:t xml:space="preserve">  La  production  d'oxyde  nitrique  a  été  traitée  en  déterminant  le  nitrite  dans  les  surnageants  de  macrophages  RAW  264.7  cultivés.  Le  protocole  a  été  traité  avec  une  légère  modification  comme  décrit  précédemment  38.  Après  une  préincubation  d'une  journée  de  cellules  RAW  264.7  (1  μg  ml−1)  avec  du  LPS  (10  μg  ml−1),  la  quantité  de  nitrite,  qui  est  considérée  comme  un  métabolite  stable  du  NO,  et  utilisée  comme  indicateur  de  la  production  de  NO  dans  le  milieu  de  culture,  a  été  estimée  à  l'aide  d'un  réactif  de  (0,1  %  de  dichlorhydrate  de  naphtyléthylène  diamine  +  1  %  d'amide  de  sulfanil  +  2,5  %  d'acide  phosphorique),  et  ce  réactif  est  communément  appelé  réactif  de  Griess.  Un  volume  de  50  μl  du  réactif  de  Griess  a  été  mélangé  à  50  μl  du  milieu  de  culture  cellulaire.  Le  mélange  a  ensuite  été  incubé  à  température  ambiante  pendant  15  min  et  l'absorbance  a  été  mesurée  à  l'aide  d'un  lecteur  multipuits  pour  microplaques  (modèle  3350,  Hercules,  Californie,  États­Unis,  Bio­Rad  Laboratories  Inc.)  à  540  nm.  Dans  chaque  expérience,  un  nouveau  milieu  de  culture  a  été  utilisé  comme  blanc.  La  quantité  de  nitrite  a  été  estimée  à  partir  de  courbes  standard  de  nitrite  de  sodium  formulées  dans  l'équation  suivante :Les  graines  de  fenugrec  ont  un  goût  amer  dû  aux  saponines  et  une  odeur  spécifique  due  aux  alcaloïdes  et  aux  huiles  volatiles,  ce  qui  limite  leur  utilisation  et  leur  acceptabilité  dans  l'industrie  alimentaire.  Il  a  été  possible  de  les  rendre  moins  amères  en  utilisant  divers  traitements  domestiques  tels  que  le  trempage,  la  germination,  l'ébullition,  etc.  Parmi  tous  les  échantillons  étudiés,  l'ADFL  a  montré  les  propriétés  antioxydantes,  antibactériennes,  antifongiques  et  anti­inflammatoires  in  vitro  les  plus  élevées  en  raison  de  sa  teneur  élevée  en  composés  phénoliques,  favonoïdes  et  isofavonoïdes.  Chaque  traitement  de  trempage,  de  germination  et  d'ébullition  a  réduit  les  activités  biologiques  in  vitro  car  une  diminution  s'est  produite  dans  les  activités  TP,  TF  et  AOX.  Enfin,  les  feuilles  de  fenugrec  séchées  à  l'air  et  les  graines  non  transformées  doivent  être  utilisées  dans  les  domaines  industriel  et  pharmaceutique  comme  un  excellent  agent  antioxydant,  antibactérien,  antifongique  et  anti­inflammatoire  naturel,  ainsi  qu'une  source  naturelle  de  composés  phénoliques  potentiels,  de  favonoïdes,  d'isofavonoïdes,  de  saponines  stéroïdiennes,  d'alcaloïdes,  etc.  dans  le  domaine  médicinal.Des  échantillons  des  composés  et  des  données  utilisés  au  cours  de  l’étude  actuelle  sont  disponibles  auprès  de  l’auteur  correspondant.Analyse  statistique.  Tous  les  tests  utilisés  dans  ce  travail  ont  été  évalués  trois  fois  et  les  données  obtenues  ont  été  représentées  par  la  moyenne  ±  écart  type  (STDEV).  Le  logiciel  d'analyse  statistique  (SAS  9.1)  a  été  appliqué  pour  l'analyse  statistique  des  données  et  l'IC50  a  été  calculé  à  l'aide  de  prismes  graphiques.  Une  analyse  de  variance  à  un  facteur  (ANOVA)  a  été  utilisée  pour  analyser  la  différence  entre  les  groupes  en  appliquant  le  test  de  différence  la  moins  significative  (LSD)  avec  des  niveaux  de  signification  de  1  %  et  5  %  (p  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2026-09-13T21:02:31+00:00</dcterms:created>
  <dcterms:modified xsi:type="dcterms:W3CDTF">2026-09-13T21:02:31+00:00</dcterms:modified>
</cp:coreProperties>
</file>

<file path=docProps/custom.xml><?xml version="1.0" encoding="utf-8"?>
<Properties xmlns="http://schemas.openxmlformats.org/officeDocument/2006/custom-properties" xmlns:vt="http://schemas.openxmlformats.org/officeDocument/2006/docPropsVTypes"/>
</file>