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Overweight and obesity pose significant health challenges, impacting both children and adults and diminishing overall quality of life.</w:t>
      </w:r>
    </w:p>
    <w:p>
      <w:pPr/>
      <w:r>
        <w:rPr/>
        <w:t xml:space="preserve"> The global prevalence of childhood overweight and obesity has escalated from 4.2% to 6.7% between 1990 and 2010, with projections estimating a staggering 9.1% by 2020.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2026-10-15T03:42:24+00:00</dcterms:created>
  <dcterms:modified xsi:type="dcterms:W3CDTF">2026-10-15T03:42:24+00:00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