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المحرك الذي يدفع إدارة الطوارئ الدولية يتغذى من الأعمال الخيرية التي تقوم بها</w:t>
      </w:r>
    </w:p>
    <w:p>
      <w:pPr/>
      <w:r>
        <w:rPr>
          <w:shd w:val="clear" w:fill="eeee80"/>
        </w:rPr>
        <w:t xml:space="preserve">الأضرار الكارثية الناجمة عن الكوارث بجميع أشكالها،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2026-10-03T05:37:47+00:00</dcterms:created>
  <dcterms:modified xsi:type="dcterms:W3CDTF">2026-10-03T05:37:47+00:00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