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المختلضة الخطوط أنواع من العديد هناك التجارية،  العلامة إظهار في الجهات تسـتخدمه الني النص تصميم أو شكل هو  درجات اختلاف ذلك في بما المسـتهلك على مختلف تأثير منها ولكل استخدامها يمكن التي الخطوط هذه تكون أن الشركة لتضمن سابقة تصاميم في مستخدمة وغير كثيزا، بها خاضا خطا تصمم الجهات بعض أن كما أخرى،  شــركات استخدمتها خطوط مع تتعارض والا قبلها، وعناية.  بدقة تفاصيلها وكل وتوهجها ونمطها وحجمها شكلها ومراعاة الخطوط من قليل عدد اختيار على الحرص يجب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2026-10-18T19:42:07+00:00</dcterms:created>
  <dcterms:modified xsi:type="dcterms:W3CDTF">2026-10-18T19:42:07+00:00</dcterms:modified>
</cp:coreProperties>
</file>

<file path=docProps/custom.xml><?xml version="1.0" encoding="utf-8"?>
<Properties xmlns="http://schemas.openxmlformats.org/officeDocument/2006/custom-properties" xmlns:vt="http://schemas.openxmlformats.org/officeDocument/2006/docPropsVTypes"/>
</file>