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 الرقابة القبلية داخل الجهاز التنفيذي المكلف باستعمال الأموال العمومية وتسمى هذه الرقابة بالرقابة الإدارية وهي</w:t>
      </w:r>
    </w:p>
    <w:p>
      <w:pPr/>
      <w:r>
        <w:rPr>
          <w:shd w:val="clear" w:fill="eeee80"/>
        </w:rPr>
        <w:t xml:space="preserve">1 تخص أساسا مراقبة النفقات الملتزم ا أو المستعملة</w:t>
      </w:r>
    </w:p>
    <w:p>
      <w:pPr/>
      <w:r>
        <w:rPr>
          <w:shd w:val="clear" w:fill="eeee80"/>
        </w:rPr>
        <w:t xml:space="preserve">2.1تعريف المراقب المالي:</w:t>
      </w:r>
    </w:p>
    <w:p>
      <w:pPr/>
      <w:r>
        <w:rPr>
          <w:shd w:val="clear" w:fill="eeee80"/>
        </w:rPr>
        <w:t xml:space="preserve">وقد نصت</w:t>
      </w:r>
    </w:p>
    <w:p>
      <w:pPr/>
      <w:r>
        <w:rPr>
          <w:shd w:val="clear" w:fill="eeee80"/>
        </w:rPr>
        <w:t xml:space="preserve">المادة 60 من القانون رقم 90-21 المتعلق بالمحاسبة العمومية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2026-09-08T08:42:47+00:00</dcterms:created>
  <dcterms:modified xsi:type="dcterms:W3CDTF">2026-09-08T08:42:47+00:00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