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الامتثال القانوني حجر الزاوية في تحقيق النجاح وضمان استدامة الأعمال،  كما يتجاوز مفهوم الامتثال القانوني مجرد الالتزام بالقوانين واللوائح المحلية،  في هذا السياق تبرز أهمية الامتثال القانوني كعامل أساسي ليس فقط في تجنب المخاطر القانونية والمالية،  من خلال تطبيق معايير الامتثال القانوني،  كما يرتبط الامتثال القانوني ارتباطاً وثيقاً بالأخلاقيات التجارية ومسؤولية الشركات الاجتماعية،  حيث يشكل ركيزة أساسية في تحقيق التوازن بين تحقيق الربح واحترام القوانين والمعايير المجتمعية،  يصبح الامتثال القانوني ليس فقط متطلبًا أساسياً،  بل أيضاً مصدراً للميزة التنافسية في سوق الأعمال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