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(1) To standardize silver nitrate solution.</w:t>
      </w:r>
    </w:p>
    <w:p>
      <w:pPr/>
      <w:r>
        <w:rPr/>
        <w:t xml:space="preserve">(2) To determine of chloride content in table salt and drinking water sample.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2026-10-07T02:14:41+00:00</dcterms:created>
  <dcterms:modified xsi:type="dcterms:W3CDTF">2026-10-07T02:14:41+00:00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