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(1) To standardize silver nitrate solution.</w:t>
      </w:r>
    </w:p>
    <w:p>
      <w:pPr/>
      <w:r>
        <w:rPr/>
        <w:t xml:space="preserve">(2) To determine of chloride content in table salt and drinking water sample.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2026-08-14T20:55:26+00:00</dcterms:created>
  <dcterms:modified xsi:type="dcterms:W3CDTF">2026-08-14T20:55:26+00:00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