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(1) To standardize silver nitrate solution.</w:t>
      </w:r>
    </w:p>
    <w:p>
      <w:pPr/>
      <w:r>
        <w:rPr/>
        <w:t xml:space="preserve">(2) To determine of chloride content in table salt and drinking water sample.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2026-11-03T17:45:38+00:00</dcterms:created>
  <dcterms:modified xsi:type="dcterms:W3CDTF">2026-11-03T17:45:38+00:00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