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Electrochemical sensors, enhanced by nanomaterials (NMs) like carbon nanofibers and metal nanoparticles, are crucial for detecting heavy metals in water and food.  Sensor performance depends on factors such as sensitivity, detection limit, and stability, improved through surface modifications (drop casting, SAMs, etc.).  Nano-enzyme catalytic activity is influenced by external (pH, electrolyte) and intrinsic (size, shape) factors.  Signal transduction at the nanoscale interface is vital for sensor efficacy.  Rapid electrochemical and colorimetric nanosensors enable real-time, on-site detection, improving accessibility.  Heavy metal contamination poses serious health risks due to bioaccumulation, necessitating accurate detection. Electrochemical sensors offer low detection limits and versatile signal reporting.  Diverse analytical techniques (potential analysis, conductometry, colorimetry) provide rapid, sensitive, and cost-effective detection.  Waste-derived carbon nanodots (CNDs) offer a sustainable approach for heavy metal detection, combining fluorometric and electrochemical capabilities.  Novel zeolite-clay composite membranes, made from inexpensive materials, show promise for heavy metal removal, with electrochemical investigations optimizing their performance.  Porous organic frameworks (POFs) further enhance sensor sensitivity, selectivity, and stability, enabling the development of portable and cost-effective devices for environmental monitoring.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2026-10-06T19:47:54+00:00</dcterms:created>
  <dcterms:modified xsi:type="dcterms:W3CDTF">2026-10-06T19:47:54+00:00</dcterms:modified>
</cp:coreProperties>
</file>

<file path=docProps/custom.xml><?xml version="1.0" encoding="utf-8"?>
<Properties xmlns="http://schemas.openxmlformats.org/officeDocument/2006/custom-properties" xmlns:vt="http://schemas.openxmlformats.org/officeDocument/2006/docPropsVTypes"/>
</file>