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تشهد أسعار الدولار في مصر تقلبات كبيرة،</w:t>
      </w:r>
    </w:p>
    <w:p>
      <w:pPr/>
      <w:r>
        <w:rPr>
          <w:shd w:val="clear" w:fill="eeee80"/>
        </w:rPr>
        <w:t xml:space="preserve"> يعتبر هذا التذبذب ناتجًا عن عدة عوامل اقتصادية ومالية تؤثر على قيمة العملة المحلية مقابل الدولار.</w:t>
      </w:r>
    </w:p>
    <w:p>
      <w:pPr/>
      <w:r>
        <w:rPr>
          <w:shd w:val="clear" w:fill="eeee80"/>
        </w:rPr>
        <w:t xml:space="preserve">تعكس أسعار صرف الدولار في مصر حالة اقتصادية ومالية للبلاد،</w:t>
      </w:r>
    </w:p>
    <w:p>
      <w:pPr/>
      <w:r>
        <w:rPr>
          <w:shd w:val="clear" w:fill="eeee80"/>
        </w:rPr>
        <w:t xml:space="preserve"> حيث يُلاحظ أن التأثيرات المحلية والعالمية تؤثر بشكل كبير على قيمة الجنيه المصري.</w:t>
      </w:r>
    </w:p>
    <w:p>
      <w:pPr/>
      <w:r>
        <w:rPr>
          <w:shd w:val="clear" w:fill="eeee80"/>
        </w:rPr>
        <w:t xml:space="preserve"> بالإضافة إلى دور البنك المركزي في محاولة استقرار سوق صرف العملات.</w:t>
      </w:r>
    </w:p>
    <w:p>
      <w:pPr/>
      <w:r>
        <w:rPr>
          <w:shd w:val="clear" w:fill="eeee80"/>
        </w:rPr>
        <w:t xml:space="preserve">إن فهم دور وأثر اسعار صرف الدولار في مصر يُظهِّر لنا نظام اقتصادي دائم التغير يستجيب للاضطلاع بأخطاء منظومات سابقة وإشكالات منظور 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2026-11-07T02:54:12+00:00</dcterms:created>
  <dcterms:modified xsi:type="dcterms:W3CDTF">2026-11-07T02:54:12+00:00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