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/><w:t xml:space="preserve">Pain Management Nursingjournal homepage: www.painmanagementnursing.orgOriginal ResearchBarriers to Pediatric Postoperative Pain Management--InterprofessionalFocus Group InterviewsPeter Forde Hougaard, Ph.D., M.S.Sc., R.N. +,?,1, Anja Hetland Smeland, Ph.D., M.Sc., R.N. +,?Inductive codingwas done descriptively and in in vivo style to preserve and explorethe clinicians' experiences (Braun & Clarke, 2021; Saldana, 2016).</w:t></w:r></w:p><w:sectPr><w:footerReference w:type="default" r:id="rId7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2026-08-28T08:16:22+00:00</dcterms:created>
  <dcterms:modified xsi:type="dcterms:W3CDTF">2026-08-28T08:16:22+00:00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