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يكون للاوراق النقدية و القطع النقدية المعدنية وكذا العملة الرقمية للبنك المركزي التي يصدرها بنك الجزائر دون سواها ستر قانوني لها قوة ابرائية غير محدودة.</w:t>
      </w:r>
    </w:p>
    <w:p>
      <w:pPr/>
      <w:r>
        <w:rPr/>
        <w:t xml:space="preserve">وتفقد الأوراق النقدية و قطع النقدية المعدنية التي تكون موضوع تدبير  بالسحب من التداول، قوتها الإجرائية ان لم تقدم للصرف من أجل أقصاه عشر سنوات من تاريخ قراراليحب.</w:t>
      </w:r>
    </w:p>
    <w:p>
      <w:pPr/>
      <w:r>
        <w:rPr>
          <w:shd w:val="clear" w:fill="eeee80"/>
        </w:rPr>
        <w:t xml:space="preserve">وبعد هذه المادة تكتسب الخزينة العمومية حينئذ قيمتها المقابلة </w:t>
      </w:r>
    </w:p>
    <w:p>
      <w:pPr/>
      <w:r>
        <w:rPr>
          <w:shd w:val="clear" w:fill="eeee80"/>
        </w:rPr>
        <w:t xml:space="preserve">لا يمكن تقديم أي اعتراض لبنك الجزائر في حالة فقدان أو سرقوا إتلاف او حجز اوراق نقدية أو قطع نقدية معدنية أصدرها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2026-09-08T06:41:07+00:00</dcterms:created>
  <dcterms:modified xsi:type="dcterms:W3CDTF">2026-09-08T06:41:07+00:00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