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الخزينة المالية إحدى الأصول في البنوك التجارية، تكون الأصول بطبيعتها مدينة، عند زيادة هذا الأصل تبقى مدينة ولكن في حال نقصانه تعكس طبيعتها وتتحول إلى دائنة،</w:t>
      </w:r>
    </w:p>
    <w:p>
      <w:pPr/>
      <w:r>
        <w:rPr>
          <w:shd w:val="clear" w:fill="eeee80"/>
        </w:rPr>
        <w:t xml:space="preserve"> فعند إيداع شخص ما لمبلغ مالي في حسابه الشخصي أو غيره فإن الخزينة تبقى حسب طبيعتها مدينة أي أن عملية الإيداع تزيد من حساب الخزينة ويجعلها مدينة،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2026-09-22T16:21:28+00:00</dcterms:created>
  <dcterms:modified xsi:type="dcterms:W3CDTF">2026-09-22T16:21:28+00:00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